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8" w:type="dxa"/>
        <w:tblLayout w:type="fixed"/>
        <w:tblLook w:val="0000"/>
      </w:tblPr>
      <w:tblGrid>
        <w:gridCol w:w="3552"/>
        <w:gridCol w:w="3220"/>
        <w:gridCol w:w="3763"/>
      </w:tblGrid>
      <w:tr w:rsidR="001028E6" w:rsidRPr="003C48A9" w:rsidTr="00AB530A">
        <w:trPr>
          <w:cantSplit/>
        </w:trPr>
        <w:tc>
          <w:tcPr>
            <w:tcW w:w="6767" w:type="dxa"/>
            <w:gridSpan w:val="2"/>
            <w:tcBorders>
              <w:top w:val="single" w:sz="6" w:space="0" w:color="auto"/>
              <w:left w:val="single" w:sz="6" w:space="0" w:color="auto"/>
            </w:tcBorders>
          </w:tcPr>
          <w:p w:rsidR="001028E6" w:rsidRPr="003C48A9" w:rsidRDefault="009112C6">
            <w:pPr>
              <w:ind w:right="-3618"/>
              <w:rPr>
                <w:b/>
                <w:i/>
                <w:sz w:val="36"/>
                <w:szCs w:val="36"/>
              </w:rPr>
            </w:pPr>
            <w:r w:rsidRPr="003C48A9">
              <w:rPr>
                <w:b/>
                <w:i/>
                <w:sz w:val="36"/>
                <w:szCs w:val="36"/>
              </w:rPr>
              <w:pict>
                <v:line id="_x0000_s1026" style="position:absolute;z-index:251656192" from="5in,21.65pt" to="547.25pt,21.7pt" o:allowincell="f"/>
              </w:pict>
            </w:r>
            <w:r w:rsidR="001028E6" w:rsidRPr="003C48A9">
              <w:rPr>
                <w:b/>
                <w:i/>
                <w:sz w:val="36"/>
                <w:szCs w:val="36"/>
              </w:rPr>
              <w:t xml:space="preserve">Windsor Machine &amp; Stamping </w:t>
            </w:r>
            <w:r w:rsidR="00AB530A" w:rsidRPr="003C48A9">
              <w:rPr>
                <w:b/>
                <w:i/>
                <w:sz w:val="36"/>
                <w:szCs w:val="36"/>
              </w:rPr>
              <w:t xml:space="preserve">(2009) </w:t>
            </w:r>
            <w:r w:rsidR="001028E6" w:rsidRPr="003C48A9">
              <w:rPr>
                <w:b/>
                <w:i/>
                <w:sz w:val="36"/>
                <w:szCs w:val="36"/>
              </w:rPr>
              <w:t>Ltd.</w:t>
            </w:r>
          </w:p>
        </w:tc>
        <w:tc>
          <w:tcPr>
            <w:tcW w:w="3763" w:type="dxa"/>
            <w:tcBorders>
              <w:top w:val="single" w:sz="6" w:space="0" w:color="auto"/>
              <w:left w:val="single" w:sz="6" w:space="0" w:color="auto"/>
              <w:bottom w:val="single" w:sz="6" w:space="0" w:color="auto"/>
              <w:right w:val="single" w:sz="6" w:space="0" w:color="auto"/>
            </w:tcBorders>
          </w:tcPr>
          <w:p w:rsidR="001028E6" w:rsidRPr="003C48A9" w:rsidRDefault="001028E6">
            <w:pPr>
              <w:ind w:right="-540"/>
              <w:rPr>
                <w:sz w:val="18"/>
              </w:rPr>
            </w:pPr>
            <w:r w:rsidRPr="003C48A9">
              <w:t>Document Type</w:t>
            </w:r>
            <w:r w:rsidRPr="003C48A9">
              <w:rPr>
                <w:sz w:val="18"/>
              </w:rPr>
              <w:t xml:space="preserve">:       </w:t>
            </w:r>
            <w:r w:rsidRPr="003C48A9">
              <w:rPr>
                <w:b/>
              </w:rPr>
              <w:t>PROCEDURE</w:t>
            </w:r>
            <w:r w:rsidRPr="003C48A9">
              <w:rPr>
                <w:sz w:val="18"/>
              </w:rPr>
              <w:t xml:space="preserve"> </w:t>
            </w:r>
          </w:p>
          <w:p w:rsidR="001028E6" w:rsidRPr="003C48A9" w:rsidRDefault="001028E6">
            <w:pPr>
              <w:ind w:right="-18"/>
              <w:rPr>
                <w:sz w:val="18"/>
              </w:rPr>
            </w:pPr>
          </w:p>
          <w:p w:rsidR="001028E6" w:rsidRPr="003C48A9" w:rsidRDefault="001028E6">
            <w:pPr>
              <w:ind w:right="-540"/>
              <w:rPr>
                <w:sz w:val="18"/>
              </w:rPr>
            </w:pPr>
            <w:r w:rsidRPr="003C48A9">
              <w:t xml:space="preserve">Department:     CONTINGENCY PLAN      </w:t>
            </w:r>
            <w:r w:rsidRPr="003C48A9">
              <w:rPr>
                <w:b/>
              </w:rPr>
              <w:t xml:space="preserve"> </w:t>
            </w:r>
            <w:r w:rsidRPr="003C48A9">
              <w:t xml:space="preserve">         </w:t>
            </w:r>
          </w:p>
          <w:p w:rsidR="001028E6" w:rsidRPr="003C48A9" w:rsidRDefault="001028E6">
            <w:pPr>
              <w:ind w:left="180" w:right="-540"/>
              <w:jc w:val="center"/>
              <w:rPr>
                <w:sz w:val="18"/>
              </w:rPr>
            </w:pPr>
          </w:p>
        </w:tc>
      </w:tr>
      <w:tr w:rsidR="001028E6" w:rsidRPr="003C48A9">
        <w:trPr>
          <w:cantSplit/>
        </w:trPr>
        <w:tc>
          <w:tcPr>
            <w:tcW w:w="3548" w:type="dxa"/>
            <w:tcBorders>
              <w:top w:val="single" w:sz="6" w:space="0" w:color="auto"/>
              <w:left w:val="single" w:sz="6" w:space="0" w:color="auto"/>
            </w:tcBorders>
          </w:tcPr>
          <w:p w:rsidR="001028E6" w:rsidRPr="003C48A9" w:rsidRDefault="001028E6">
            <w:pPr>
              <w:ind w:right="-540"/>
              <w:rPr>
                <w:sz w:val="18"/>
              </w:rPr>
            </w:pPr>
            <w:r w:rsidRPr="003C48A9">
              <w:t>Prepared By</w:t>
            </w:r>
            <w:r w:rsidRPr="003C48A9">
              <w:rPr>
                <w:sz w:val="18"/>
              </w:rPr>
              <w:t>:   Michael Vecera</w:t>
            </w:r>
          </w:p>
          <w:p w:rsidR="001028E6" w:rsidRPr="003C48A9" w:rsidRDefault="001028E6">
            <w:pPr>
              <w:ind w:right="-540"/>
              <w:rPr>
                <w:sz w:val="18"/>
              </w:rPr>
            </w:pPr>
            <w:r w:rsidRPr="003C48A9">
              <w:rPr>
                <w:sz w:val="18"/>
              </w:rPr>
              <w:t xml:space="preserve">Approved By:    Jerry </w:t>
            </w:r>
            <w:proofErr w:type="spellStart"/>
            <w:r w:rsidRPr="003C48A9">
              <w:rPr>
                <w:sz w:val="18"/>
              </w:rPr>
              <w:t>Mitri</w:t>
            </w:r>
            <w:proofErr w:type="spellEnd"/>
          </w:p>
          <w:p w:rsidR="001028E6" w:rsidRPr="003C48A9" w:rsidRDefault="001028E6">
            <w:pPr>
              <w:ind w:left="180" w:right="-540"/>
              <w:rPr>
                <w:sz w:val="18"/>
              </w:rPr>
            </w:pPr>
          </w:p>
        </w:tc>
        <w:tc>
          <w:tcPr>
            <w:tcW w:w="3220" w:type="dxa"/>
            <w:tcBorders>
              <w:top w:val="single" w:sz="6" w:space="0" w:color="auto"/>
              <w:left w:val="single" w:sz="6" w:space="0" w:color="auto"/>
              <w:right w:val="single" w:sz="6" w:space="0" w:color="auto"/>
            </w:tcBorders>
          </w:tcPr>
          <w:p w:rsidR="001028E6" w:rsidRPr="003C48A9" w:rsidRDefault="001028E6">
            <w:pPr>
              <w:ind w:right="-540"/>
              <w:rPr>
                <w:sz w:val="18"/>
              </w:rPr>
            </w:pPr>
            <w:r w:rsidRPr="003C48A9">
              <w:t>Release Date</w:t>
            </w:r>
            <w:r w:rsidR="000027C0" w:rsidRPr="003C48A9">
              <w:rPr>
                <w:sz w:val="18"/>
              </w:rPr>
              <w:t xml:space="preserve">:  </w:t>
            </w:r>
            <w:r w:rsidR="00E17B73" w:rsidRPr="003C48A9">
              <w:rPr>
                <w:sz w:val="18"/>
              </w:rPr>
              <w:t>May 1, 2007</w:t>
            </w:r>
          </w:p>
          <w:p w:rsidR="001028E6" w:rsidRPr="003C48A9" w:rsidRDefault="001028E6">
            <w:pPr>
              <w:ind w:left="180" w:right="-540"/>
              <w:jc w:val="center"/>
              <w:rPr>
                <w:sz w:val="18"/>
              </w:rPr>
            </w:pPr>
          </w:p>
        </w:tc>
        <w:tc>
          <w:tcPr>
            <w:tcW w:w="3762" w:type="dxa"/>
            <w:tcBorders>
              <w:top w:val="single" w:sz="6" w:space="0" w:color="auto"/>
              <w:right w:val="single" w:sz="6" w:space="0" w:color="auto"/>
            </w:tcBorders>
          </w:tcPr>
          <w:p w:rsidR="001028E6" w:rsidRPr="003C48A9" w:rsidRDefault="001028E6">
            <w:pPr>
              <w:ind w:right="-540"/>
              <w:rPr>
                <w:sz w:val="18"/>
              </w:rPr>
            </w:pPr>
            <w:r w:rsidRPr="003C48A9">
              <w:t xml:space="preserve">Document No:          </w:t>
            </w:r>
            <w:r w:rsidRPr="003C48A9">
              <w:rPr>
                <w:b/>
              </w:rPr>
              <w:t>PR-QA-012</w:t>
            </w:r>
          </w:p>
        </w:tc>
      </w:tr>
      <w:tr w:rsidR="001028E6" w:rsidRPr="003C48A9">
        <w:trPr>
          <w:cantSplit/>
        </w:trPr>
        <w:tc>
          <w:tcPr>
            <w:tcW w:w="3552" w:type="dxa"/>
            <w:tcBorders>
              <w:top w:val="single" w:sz="6" w:space="0" w:color="auto"/>
              <w:left w:val="single" w:sz="6" w:space="0" w:color="auto"/>
              <w:bottom w:val="single" w:sz="6" w:space="0" w:color="auto"/>
              <w:right w:val="single" w:sz="6" w:space="0" w:color="auto"/>
            </w:tcBorders>
          </w:tcPr>
          <w:p w:rsidR="001028E6" w:rsidRPr="003C48A9" w:rsidRDefault="001028E6" w:rsidP="00E17B73">
            <w:pPr>
              <w:ind w:right="-540"/>
              <w:rPr>
                <w:sz w:val="18"/>
              </w:rPr>
            </w:pPr>
            <w:r w:rsidRPr="003C48A9">
              <w:t xml:space="preserve">Revision Date:  </w:t>
            </w:r>
            <w:r w:rsidR="00E17B73" w:rsidRPr="003C48A9">
              <w:rPr>
                <w:sz w:val="18"/>
              </w:rPr>
              <w:t xml:space="preserve">May </w:t>
            </w:r>
            <w:r w:rsidR="003C48A9" w:rsidRPr="003C48A9">
              <w:rPr>
                <w:sz w:val="18"/>
              </w:rPr>
              <w:t>3</w:t>
            </w:r>
            <w:r w:rsidR="00E17B73" w:rsidRPr="003C48A9">
              <w:rPr>
                <w:sz w:val="18"/>
              </w:rPr>
              <w:t>1, 2012</w:t>
            </w:r>
          </w:p>
        </w:tc>
        <w:tc>
          <w:tcPr>
            <w:tcW w:w="3216" w:type="dxa"/>
            <w:tcBorders>
              <w:top w:val="single" w:sz="6" w:space="0" w:color="auto"/>
              <w:bottom w:val="single" w:sz="6" w:space="0" w:color="auto"/>
              <w:right w:val="single" w:sz="6" w:space="0" w:color="auto"/>
            </w:tcBorders>
          </w:tcPr>
          <w:p w:rsidR="001028E6" w:rsidRPr="003C48A9" w:rsidRDefault="001028E6">
            <w:pPr>
              <w:ind w:right="-540"/>
              <w:rPr>
                <w:sz w:val="18"/>
              </w:rPr>
            </w:pPr>
            <w:r w:rsidRPr="003C48A9">
              <w:t xml:space="preserve">Revision No: </w:t>
            </w:r>
            <w:r w:rsidR="000027C0" w:rsidRPr="003C48A9">
              <w:t xml:space="preserve">  002</w:t>
            </w:r>
          </w:p>
          <w:p w:rsidR="001028E6" w:rsidRPr="003C48A9" w:rsidRDefault="001028E6">
            <w:pPr>
              <w:ind w:left="180" w:right="-540"/>
              <w:jc w:val="center"/>
              <w:rPr>
                <w:sz w:val="18"/>
              </w:rPr>
            </w:pPr>
          </w:p>
        </w:tc>
        <w:tc>
          <w:tcPr>
            <w:tcW w:w="3762" w:type="dxa"/>
            <w:tcBorders>
              <w:top w:val="single" w:sz="6" w:space="0" w:color="auto"/>
              <w:bottom w:val="single" w:sz="6" w:space="0" w:color="auto"/>
              <w:right w:val="single" w:sz="6" w:space="0" w:color="auto"/>
            </w:tcBorders>
          </w:tcPr>
          <w:p w:rsidR="001028E6" w:rsidRPr="003C48A9" w:rsidRDefault="001028E6">
            <w:pPr>
              <w:ind w:right="-540"/>
              <w:rPr>
                <w:sz w:val="18"/>
              </w:rPr>
            </w:pPr>
            <w:r w:rsidRPr="003C48A9">
              <w:t>Page          1      of</w:t>
            </w:r>
            <w:r w:rsidRPr="003C48A9">
              <w:rPr>
                <w:sz w:val="18"/>
              </w:rPr>
              <w:t xml:space="preserve">        </w:t>
            </w:r>
            <w:r w:rsidRPr="003C48A9">
              <w:t>2</w:t>
            </w:r>
          </w:p>
          <w:p w:rsidR="001028E6" w:rsidRPr="003C48A9" w:rsidRDefault="001028E6">
            <w:pPr>
              <w:ind w:right="-540"/>
              <w:jc w:val="center"/>
              <w:rPr>
                <w:sz w:val="18"/>
              </w:rPr>
            </w:pPr>
          </w:p>
        </w:tc>
      </w:tr>
      <w:tr w:rsidR="001028E6" w:rsidRPr="003C48A9">
        <w:trPr>
          <w:cantSplit/>
        </w:trPr>
        <w:tc>
          <w:tcPr>
            <w:tcW w:w="10530" w:type="dxa"/>
            <w:gridSpan w:val="3"/>
            <w:tcBorders>
              <w:top w:val="single" w:sz="6" w:space="0" w:color="auto"/>
              <w:left w:val="single" w:sz="6" w:space="0" w:color="auto"/>
              <w:bottom w:val="single" w:sz="6" w:space="0" w:color="auto"/>
              <w:right w:val="single" w:sz="6" w:space="0" w:color="auto"/>
            </w:tcBorders>
          </w:tcPr>
          <w:p w:rsidR="001028E6" w:rsidRPr="003C48A9" w:rsidRDefault="009112C6">
            <w:pPr>
              <w:pStyle w:val="PROCHEAD"/>
              <w:jc w:val="left"/>
              <w:rPr>
                <w:sz w:val="18"/>
              </w:rPr>
            </w:pPr>
            <w:r w:rsidRPr="003C48A9">
              <w:rPr>
                <w:b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in;margin-top:1.85pt;width:11.25pt;height:9pt;z-index:251657216;mso-position-horizontal-relative:text;mso-position-vertical-relative:text" o:allowincell="f">
                  <v:imagedata r:id="rId7" o:title=""/>
                </v:shape>
                <o:OLEObject Type="Embed" ProgID="MS_ClipArt_Gallery" ShapeID="_x0000_s1029" DrawAspect="Content" ObjectID="_1400310064" r:id="rId8"/>
              </w:pict>
            </w:r>
            <w:r w:rsidR="001028E6" w:rsidRPr="003C48A9">
              <w:rPr>
                <w:b w:val="0"/>
                <w:sz w:val="20"/>
              </w:rPr>
              <w:t xml:space="preserve">Subject:                                               </w:t>
            </w:r>
            <w:r w:rsidR="001028E6" w:rsidRPr="003C48A9">
              <w:rPr>
                <w:sz w:val="24"/>
              </w:rPr>
              <w:t>CONTINGENCY PLAN</w:t>
            </w:r>
            <w:r w:rsidR="001028E6" w:rsidRPr="003C48A9">
              <w:rPr>
                <w:b w:val="0"/>
                <w:sz w:val="20"/>
              </w:rPr>
              <w:t xml:space="preserve">    </w:t>
            </w:r>
          </w:p>
        </w:tc>
      </w:tr>
    </w:tbl>
    <w:p w:rsidR="001028E6" w:rsidRPr="003C48A9" w:rsidRDefault="001028E6"/>
    <w:p w:rsidR="001028E6" w:rsidRPr="003C48A9" w:rsidRDefault="001028E6">
      <w:pPr>
        <w:pStyle w:val="PROCHEAD"/>
        <w:jc w:val="left"/>
        <w:rPr>
          <w:b w:val="0"/>
          <w:sz w:val="22"/>
          <w:szCs w:val="22"/>
        </w:rPr>
      </w:pPr>
      <w:r w:rsidRPr="003C48A9">
        <w:tab/>
      </w:r>
    </w:p>
    <w:p w:rsidR="001028E6" w:rsidRPr="003C48A9" w:rsidRDefault="001028E6">
      <w:pPr>
        <w:pStyle w:val="SECHEAD"/>
        <w:rPr>
          <w:noProof w:val="0"/>
        </w:rPr>
      </w:pPr>
      <w:r w:rsidRPr="003C48A9">
        <w:rPr>
          <w:noProof w:val="0"/>
        </w:rPr>
        <w:tab/>
        <w:t>PURPOSE</w:t>
      </w:r>
    </w:p>
    <w:p w:rsidR="001028E6" w:rsidRPr="003C48A9" w:rsidRDefault="001028E6">
      <w:pPr>
        <w:pStyle w:val="TEXTA"/>
        <w:rPr>
          <w:noProof w:val="0"/>
        </w:rPr>
      </w:pPr>
      <w:r w:rsidRPr="003C48A9">
        <w:rPr>
          <w:noProof w:val="0"/>
        </w:rPr>
        <w:tab/>
        <w:t>The purpose of this procedure is to provide for a system and instruction to protect the customer with regards to part supply &amp; delivery in the event of a rejection or key equipment failure.  This procedure will also address key personnel responsibilities within Windsor Machine and the customer.</w:t>
      </w:r>
    </w:p>
    <w:p w:rsidR="001028E6" w:rsidRPr="003C48A9" w:rsidRDefault="001028E6">
      <w:pPr>
        <w:pStyle w:val="TEXTA"/>
        <w:rPr>
          <w:noProof w:val="0"/>
        </w:rPr>
      </w:pPr>
      <w:r w:rsidRPr="003C48A9">
        <w:rPr>
          <w:noProof w:val="0"/>
        </w:rPr>
        <w:tab/>
        <w:t xml:space="preserve">This procedure applies to any or all formal rejections or emergencies that are within control of Windsor Machine (i.e. </w:t>
      </w:r>
      <w:proofErr w:type="gramStart"/>
      <w:r w:rsidRPr="003C48A9">
        <w:rPr>
          <w:noProof w:val="0"/>
        </w:rPr>
        <w:t>any</w:t>
      </w:r>
      <w:proofErr w:type="gramEnd"/>
      <w:r w:rsidRPr="003C48A9">
        <w:rPr>
          <w:noProof w:val="0"/>
        </w:rPr>
        <w:t xml:space="preserve"> act of God, natural disaster etc. is exempt from this procedure).</w:t>
      </w:r>
    </w:p>
    <w:p w:rsidR="001028E6" w:rsidRPr="003C48A9" w:rsidRDefault="001028E6">
      <w:pPr>
        <w:pStyle w:val="SECHEAD"/>
        <w:rPr>
          <w:noProof w:val="0"/>
        </w:rPr>
      </w:pPr>
      <w:r w:rsidRPr="003C48A9">
        <w:rPr>
          <w:noProof w:val="0"/>
        </w:rPr>
        <w:tab/>
        <w:t>PROCEDURE</w:t>
      </w:r>
    </w:p>
    <w:p w:rsidR="006B5080" w:rsidRPr="003C48A9" w:rsidRDefault="006B5080" w:rsidP="006B5080">
      <w:pPr>
        <w:pStyle w:val="PROCHEAD"/>
        <w:jc w:val="left"/>
        <w:rPr>
          <w:b w:val="0"/>
          <w:sz w:val="22"/>
          <w:szCs w:val="22"/>
        </w:rPr>
      </w:pPr>
      <w:r w:rsidRPr="003C48A9">
        <w:rPr>
          <w:b w:val="0"/>
          <w:sz w:val="22"/>
          <w:szCs w:val="22"/>
        </w:rPr>
        <w:tab/>
      </w:r>
      <w:r w:rsidRPr="003C48A9">
        <w:rPr>
          <w:b w:val="0"/>
          <w:sz w:val="22"/>
          <w:szCs w:val="22"/>
        </w:rPr>
        <w:tab/>
        <w:t>Windsor Machine shall notify the OEM receiving plant, the OEM buyer and the responsib</w:t>
      </w:r>
      <w:r w:rsidR="007616B8" w:rsidRPr="003C48A9">
        <w:rPr>
          <w:b w:val="0"/>
          <w:sz w:val="22"/>
          <w:szCs w:val="22"/>
        </w:rPr>
        <w:t>le OEM Supplier Quality Personnel</w:t>
      </w:r>
      <w:r w:rsidRPr="003C48A9">
        <w:rPr>
          <w:b w:val="0"/>
          <w:sz w:val="22"/>
          <w:szCs w:val="22"/>
        </w:rPr>
        <w:t xml:space="preserve"> within 24 hours of the production interruption. The nature of the </w:t>
      </w:r>
      <w:r w:rsidR="007616B8" w:rsidRPr="003C48A9">
        <w:rPr>
          <w:b w:val="0"/>
          <w:sz w:val="22"/>
          <w:szCs w:val="22"/>
        </w:rPr>
        <w:t xml:space="preserve">production interruption </w:t>
      </w:r>
      <w:r w:rsidRPr="003C48A9">
        <w:rPr>
          <w:b w:val="0"/>
          <w:sz w:val="22"/>
          <w:szCs w:val="22"/>
        </w:rPr>
        <w:t>problem shall be communicated to the OEM and immediate actions taken to assure the supply of product to the OEM customer.</w:t>
      </w:r>
    </w:p>
    <w:p w:rsidR="006B5080" w:rsidRPr="003C48A9" w:rsidRDefault="006B5080" w:rsidP="006B5080">
      <w:pPr>
        <w:pStyle w:val="PROCHEAD"/>
        <w:jc w:val="left"/>
        <w:rPr>
          <w:b w:val="0"/>
          <w:sz w:val="22"/>
          <w:szCs w:val="22"/>
        </w:rPr>
      </w:pPr>
      <w:r w:rsidRPr="003C48A9">
        <w:rPr>
          <w:b w:val="0"/>
          <w:sz w:val="22"/>
          <w:szCs w:val="22"/>
        </w:rPr>
        <w:tab/>
        <w:t>Upon notice of a legitimate Windsor Machine supplied defect or key equipment failure, the following contingency plan shall be followed:</w:t>
      </w:r>
    </w:p>
    <w:p w:rsidR="001028E6" w:rsidRPr="003C48A9" w:rsidRDefault="006B5080" w:rsidP="006B5080">
      <w:pPr>
        <w:pStyle w:val="SECHEAD"/>
        <w:ind w:left="0" w:firstLine="0"/>
      </w:pPr>
      <w:r w:rsidRPr="003C48A9">
        <w:rPr>
          <w:b w:val="0"/>
          <w:noProof w:val="0"/>
          <w:szCs w:val="22"/>
        </w:rPr>
        <w:tab/>
      </w:r>
      <w:r w:rsidR="001028E6" w:rsidRPr="003C48A9">
        <w:t>Defective Material</w:t>
      </w:r>
    </w:p>
    <w:p w:rsidR="001028E6" w:rsidRPr="003C48A9" w:rsidRDefault="001028E6">
      <w:pPr>
        <w:pStyle w:val="BULLETA"/>
        <w:tabs>
          <w:tab w:val="clear" w:pos="720"/>
          <w:tab w:val="left" w:pos="540"/>
        </w:tabs>
        <w:ind w:left="540" w:hanging="36"/>
      </w:pPr>
      <w:r w:rsidRPr="003C48A9">
        <w:t>Obligation</w:t>
      </w:r>
      <w:r w:rsidR="00971FCD" w:rsidRPr="003C48A9">
        <w:t xml:space="preserve"> to Customer</w:t>
      </w:r>
      <w:r w:rsidRPr="003C48A9">
        <w:t>:  Provide, at minimum, evidence of the defect (ie photos, physical samples, quantity found and lot numbers involved)</w:t>
      </w:r>
      <w:r w:rsidRPr="003C48A9">
        <w:tab/>
      </w:r>
      <w:r w:rsidRPr="003C48A9">
        <w:tab/>
      </w:r>
    </w:p>
    <w:p w:rsidR="001028E6" w:rsidRPr="003C48A9" w:rsidRDefault="001028E6">
      <w:pPr>
        <w:pStyle w:val="TEXTA"/>
      </w:pPr>
      <w:r w:rsidRPr="003C48A9">
        <w:rPr>
          <w:noProof w:val="0"/>
        </w:rPr>
        <w:tab/>
      </w:r>
      <w:r w:rsidRPr="003C48A9">
        <w:t>Quality related customer complaints are processed by the Quality Assurance department.  Complaints received are documented during or immediately following</w:t>
      </w:r>
      <w:r w:rsidR="007616B8" w:rsidRPr="003C48A9">
        <w:t xml:space="preserve"> notification by the</w:t>
      </w:r>
      <w:r w:rsidRPr="003C48A9">
        <w:t xml:space="preserve"> customer. </w:t>
      </w:r>
      <w:r w:rsidRPr="003C48A9">
        <w:rPr>
          <w:b/>
        </w:rPr>
        <w:t>If the material in question is  shipped to more than one customer location, all customer locations are notified of the problem.</w:t>
      </w:r>
      <w:r w:rsidRPr="003C48A9">
        <w:t xml:space="preserve">  It is standard procedure to immediately contain, sort and certify all material within the production plant (Windsor Machine), within the Tier 1 and, if needed, the OEM.  Suspect material that is in transit will be contained once it reaches its destination.  </w:t>
      </w:r>
    </w:p>
    <w:p w:rsidR="001028E6" w:rsidRPr="003C48A9" w:rsidRDefault="001028E6">
      <w:pPr>
        <w:pStyle w:val="TEXTA"/>
        <w:rPr>
          <w:b/>
        </w:rPr>
      </w:pPr>
      <w:r w:rsidRPr="003C48A9">
        <w:tab/>
      </w:r>
      <w:r w:rsidRPr="003C48A9">
        <w:rPr>
          <w:b/>
        </w:rPr>
        <w:t>On-Site Support</w:t>
      </w:r>
    </w:p>
    <w:p w:rsidR="001028E6" w:rsidRPr="003C48A9" w:rsidRDefault="001028E6">
      <w:pPr>
        <w:pStyle w:val="SECHEAD"/>
        <w:rPr>
          <w:b w:val="0"/>
        </w:rPr>
      </w:pPr>
      <w:r w:rsidRPr="003C48A9">
        <w:tab/>
      </w:r>
      <w:r w:rsidRPr="003C48A9">
        <w:rPr>
          <w:b w:val="0"/>
        </w:rPr>
        <w:t>A Windsor Machine representative and/or team will be dispatched to the the customer site to coordinate cont</w:t>
      </w:r>
      <w:r w:rsidR="00F92F47" w:rsidRPr="003C48A9">
        <w:rPr>
          <w:b w:val="0"/>
        </w:rPr>
        <w:t xml:space="preserve">ainment and to provide </w:t>
      </w:r>
      <w:r w:rsidRPr="003C48A9">
        <w:rPr>
          <w:b w:val="0"/>
        </w:rPr>
        <w:t xml:space="preserve"> support in the event that sorting is taking place.  A Windsor Machine representative or team may include one or each of the following: </w:t>
      </w:r>
    </w:p>
    <w:p w:rsidR="001028E6" w:rsidRPr="003C48A9" w:rsidRDefault="001028E6">
      <w:pPr>
        <w:pStyle w:val="BULLETA"/>
      </w:pPr>
      <w:r w:rsidRPr="003C48A9">
        <w:t>Quality Assurance Man</w:t>
      </w:r>
      <w:r w:rsidR="007616B8" w:rsidRPr="003C48A9">
        <w:t>ager; Corporate Quality Manager</w:t>
      </w:r>
      <w:r w:rsidRPr="003C48A9">
        <w:t xml:space="preserve">; Program </w:t>
      </w:r>
      <w:r w:rsidR="006B5080" w:rsidRPr="003C48A9">
        <w:t xml:space="preserve">Manager; Windsor Machine Sales, Windsor Machine Designated Customer Liason; and/or Contracted </w:t>
      </w:r>
      <w:r w:rsidRPr="003C48A9">
        <w:t>Sort Team.</w:t>
      </w:r>
    </w:p>
    <w:p w:rsidR="001028E6" w:rsidRPr="003C48A9" w:rsidRDefault="001028E6">
      <w:pPr>
        <w:ind w:left="540" w:hanging="540"/>
      </w:pPr>
      <w:r w:rsidRPr="003C48A9">
        <w:tab/>
      </w:r>
    </w:p>
    <w:p w:rsidR="001028E6" w:rsidRPr="003C48A9" w:rsidRDefault="001028E6">
      <w:pPr>
        <w:ind w:left="540" w:hanging="540"/>
        <w:rPr>
          <w:sz w:val="22"/>
          <w:szCs w:val="22"/>
        </w:rPr>
      </w:pPr>
      <w:r w:rsidRPr="003C48A9">
        <w:tab/>
      </w:r>
      <w:r w:rsidRPr="003C48A9">
        <w:rPr>
          <w:b/>
          <w:sz w:val="22"/>
          <w:szCs w:val="22"/>
        </w:rPr>
        <w:t>Key Equipment Failure</w:t>
      </w:r>
    </w:p>
    <w:p w:rsidR="001028E6" w:rsidRPr="003C48A9" w:rsidRDefault="001028E6">
      <w:pPr>
        <w:ind w:left="540" w:hanging="540"/>
        <w:rPr>
          <w:sz w:val="22"/>
          <w:szCs w:val="22"/>
        </w:rPr>
      </w:pPr>
    </w:p>
    <w:p w:rsidR="001028E6" w:rsidRPr="003C48A9" w:rsidRDefault="001028E6">
      <w:pPr>
        <w:ind w:left="540" w:hanging="540"/>
        <w:rPr>
          <w:sz w:val="22"/>
          <w:szCs w:val="22"/>
        </w:rPr>
      </w:pPr>
      <w:r w:rsidRPr="003C48A9">
        <w:rPr>
          <w:sz w:val="22"/>
          <w:szCs w:val="22"/>
        </w:rPr>
        <w:tab/>
        <w:t>In the instance that key equipment is damaged and/or cannot produce parts, the following shall be followed:</w:t>
      </w:r>
    </w:p>
    <w:p w:rsidR="001028E6" w:rsidRPr="003C48A9" w:rsidRDefault="001028E6">
      <w:pPr>
        <w:ind w:left="540" w:hanging="540"/>
        <w:rPr>
          <w:sz w:val="22"/>
          <w:szCs w:val="22"/>
        </w:rPr>
      </w:pPr>
    </w:p>
    <w:p w:rsidR="00E17B73" w:rsidRPr="003C48A9" w:rsidRDefault="001028E6">
      <w:r w:rsidRPr="003C48A9">
        <w:tab/>
      </w:r>
      <w:r w:rsidR="00E17B73" w:rsidRPr="003C48A9">
        <w:br w:type="page"/>
      </w:r>
    </w:p>
    <w:p w:rsidR="001028E6" w:rsidRPr="003C48A9" w:rsidRDefault="001028E6" w:rsidP="00971FCD"/>
    <w:tbl>
      <w:tblPr>
        <w:tblW w:w="0" w:type="auto"/>
        <w:tblInd w:w="558" w:type="dxa"/>
        <w:tblLayout w:type="fixed"/>
        <w:tblLook w:val="0000"/>
      </w:tblPr>
      <w:tblGrid>
        <w:gridCol w:w="3552"/>
        <w:gridCol w:w="3220"/>
        <w:gridCol w:w="3763"/>
      </w:tblGrid>
      <w:tr w:rsidR="00AB530A" w:rsidRPr="003C48A9" w:rsidTr="00AB530A">
        <w:trPr>
          <w:cantSplit/>
        </w:trPr>
        <w:tc>
          <w:tcPr>
            <w:tcW w:w="6772" w:type="dxa"/>
            <w:gridSpan w:val="2"/>
            <w:tcBorders>
              <w:top w:val="single" w:sz="6" w:space="0" w:color="auto"/>
              <w:left w:val="single" w:sz="6" w:space="0" w:color="auto"/>
            </w:tcBorders>
          </w:tcPr>
          <w:p w:rsidR="00AB530A" w:rsidRPr="003C48A9" w:rsidRDefault="009112C6" w:rsidP="001028E6">
            <w:pPr>
              <w:ind w:right="-3618"/>
              <w:rPr>
                <w:b/>
                <w:i/>
                <w:sz w:val="36"/>
                <w:szCs w:val="36"/>
              </w:rPr>
            </w:pPr>
            <w:r w:rsidRPr="003C48A9">
              <w:rPr>
                <w:b/>
                <w:i/>
                <w:sz w:val="36"/>
                <w:szCs w:val="36"/>
              </w:rPr>
              <w:pict>
                <v:line id="_x0000_s1035" style="position:absolute;z-index:251659264" from="5in,21.65pt" to="547.25pt,21.7pt" o:allowincell="f"/>
              </w:pict>
            </w:r>
            <w:r w:rsidR="00AB530A" w:rsidRPr="003C48A9">
              <w:rPr>
                <w:b/>
                <w:i/>
                <w:sz w:val="36"/>
                <w:szCs w:val="36"/>
              </w:rPr>
              <w:t>Windsor Machine &amp; Stamping (2009) Ltd.</w:t>
            </w:r>
          </w:p>
        </w:tc>
        <w:tc>
          <w:tcPr>
            <w:tcW w:w="3763" w:type="dxa"/>
            <w:tcBorders>
              <w:top w:val="single" w:sz="6" w:space="0" w:color="auto"/>
              <w:left w:val="single" w:sz="6" w:space="0" w:color="auto"/>
              <w:bottom w:val="single" w:sz="6" w:space="0" w:color="auto"/>
              <w:right w:val="single" w:sz="6" w:space="0" w:color="auto"/>
            </w:tcBorders>
          </w:tcPr>
          <w:p w:rsidR="00AB530A" w:rsidRPr="003C48A9" w:rsidRDefault="00AB530A">
            <w:pPr>
              <w:ind w:right="-540"/>
              <w:rPr>
                <w:sz w:val="18"/>
              </w:rPr>
            </w:pPr>
            <w:r w:rsidRPr="003C48A9">
              <w:t>Document Type</w:t>
            </w:r>
            <w:r w:rsidRPr="003C48A9">
              <w:rPr>
                <w:sz w:val="18"/>
              </w:rPr>
              <w:t xml:space="preserve">:       </w:t>
            </w:r>
            <w:r w:rsidRPr="003C48A9">
              <w:rPr>
                <w:b/>
              </w:rPr>
              <w:t>PROCEDURE</w:t>
            </w:r>
            <w:r w:rsidRPr="003C48A9">
              <w:rPr>
                <w:sz w:val="18"/>
              </w:rPr>
              <w:t xml:space="preserve"> </w:t>
            </w:r>
          </w:p>
          <w:p w:rsidR="00AB530A" w:rsidRPr="003C48A9" w:rsidRDefault="00AB530A">
            <w:pPr>
              <w:ind w:right="-18"/>
              <w:rPr>
                <w:sz w:val="18"/>
              </w:rPr>
            </w:pPr>
          </w:p>
          <w:p w:rsidR="00AB530A" w:rsidRPr="003C48A9" w:rsidRDefault="00AB530A">
            <w:pPr>
              <w:ind w:right="-540"/>
              <w:rPr>
                <w:sz w:val="18"/>
              </w:rPr>
            </w:pPr>
            <w:r w:rsidRPr="003C48A9">
              <w:t xml:space="preserve">Department:     CONTINGENCY PLAN      </w:t>
            </w:r>
            <w:r w:rsidRPr="003C48A9">
              <w:rPr>
                <w:b/>
              </w:rPr>
              <w:t xml:space="preserve"> </w:t>
            </w:r>
            <w:r w:rsidRPr="003C48A9">
              <w:t xml:space="preserve">         </w:t>
            </w:r>
          </w:p>
          <w:p w:rsidR="00AB530A" w:rsidRPr="003C48A9" w:rsidRDefault="00AB530A">
            <w:pPr>
              <w:ind w:left="180" w:right="-540"/>
              <w:jc w:val="center"/>
              <w:rPr>
                <w:sz w:val="18"/>
              </w:rPr>
            </w:pPr>
          </w:p>
        </w:tc>
      </w:tr>
      <w:tr w:rsidR="00AB530A" w:rsidRPr="003C48A9" w:rsidTr="00AB530A">
        <w:trPr>
          <w:cantSplit/>
        </w:trPr>
        <w:tc>
          <w:tcPr>
            <w:tcW w:w="3552" w:type="dxa"/>
            <w:tcBorders>
              <w:top w:val="single" w:sz="6" w:space="0" w:color="auto"/>
              <w:left w:val="single" w:sz="6" w:space="0" w:color="auto"/>
            </w:tcBorders>
          </w:tcPr>
          <w:p w:rsidR="00AB530A" w:rsidRPr="003C48A9" w:rsidRDefault="00AB530A">
            <w:pPr>
              <w:ind w:right="-540"/>
              <w:rPr>
                <w:sz w:val="18"/>
              </w:rPr>
            </w:pPr>
            <w:r w:rsidRPr="003C48A9">
              <w:t>Prepared By</w:t>
            </w:r>
            <w:r w:rsidRPr="003C48A9">
              <w:rPr>
                <w:sz w:val="18"/>
              </w:rPr>
              <w:t xml:space="preserve">:   Michael </w:t>
            </w:r>
            <w:proofErr w:type="spellStart"/>
            <w:r w:rsidRPr="003C48A9">
              <w:rPr>
                <w:sz w:val="18"/>
              </w:rPr>
              <w:t>Vecera</w:t>
            </w:r>
            <w:proofErr w:type="spellEnd"/>
          </w:p>
          <w:p w:rsidR="00AB530A" w:rsidRPr="003C48A9" w:rsidRDefault="00AB530A">
            <w:pPr>
              <w:ind w:right="-540"/>
              <w:rPr>
                <w:sz w:val="18"/>
              </w:rPr>
            </w:pPr>
            <w:r w:rsidRPr="003C48A9">
              <w:rPr>
                <w:sz w:val="18"/>
              </w:rPr>
              <w:t xml:space="preserve">Approved By:    Jerry </w:t>
            </w:r>
            <w:proofErr w:type="spellStart"/>
            <w:r w:rsidRPr="003C48A9">
              <w:rPr>
                <w:sz w:val="18"/>
              </w:rPr>
              <w:t>Mitri</w:t>
            </w:r>
            <w:proofErr w:type="spellEnd"/>
          </w:p>
          <w:p w:rsidR="00AB530A" w:rsidRPr="003C48A9" w:rsidRDefault="00AB530A">
            <w:pPr>
              <w:ind w:left="180" w:right="-540"/>
              <w:rPr>
                <w:sz w:val="18"/>
              </w:rPr>
            </w:pPr>
          </w:p>
        </w:tc>
        <w:tc>
          <w:tcPr>
            <w:tcW w:w="3220" w:type="dxa"/>
            <w:tcBorders>
              <w:top w:val="single" w:sz="6" w:space="0" w:color="auto"/>
              <w:left w:val="single" w:sz="6" w:space="0" w:color="auto"/>
              <w:right w:val="single" w:sz="6" w:space="0" w:color="auto"/>
            </w:tcBorders>
          </w:tcPr>
          <w:p w:rsidR="00AB530A" w:rsidRPr="003C48A9" w:rsidRDefault="00AB530A">
            <w:pPr>
              <w:ind w:right="-540"/>
              <w:rPr>
                <w:sz w:val="18"/>
              </w:rPr>
            </w:pPr>
            <w:r w:rsidRPr="003C48A9">
              <w:t>Release Date</w:t>
            </w:r>
            <w:r w:rsidRPr="003C48A9">
              <w:rPr>
                <w:sz w:val="18"/>
              </w:rPr>
              <w:t>:  May 1, 2007</w:t>
            </w:r>
          </w:p>
          <w:p w:rsidR="00AB530A" w:rsidRPr="003C48A9" w:rsidRDefault="00AB530A">
            <w:pPr>
              <w:ind w:left="180" w:right="-540"/>
              <w:jc w:val="center"/>
              <w:rPr>
                <w:sz w:val="18"/>
              </w:rPr>
            </w:pPr>
          </w:p>
        </w:tc>
        <w:tc>
          <w:tcPr>
            <w:tcW w:w="3763" w:type="dxa"/>
            <w:tcBorders>
              <w:top w:val="single" w:sz="6" w:space="0" w:color="auto"/>
              <w:right w:val="single" w:sz="6" w:space="0" w:color="auto"/>
            </w:tcBorders>
          </w:tcPr>
          <w:p w:rsidR="00AB530A" w:rsidRPr="003C48A9" w:rsidRDefault="00AB530A">
            <w:pPr>
              <w:ind w:right="-540"/>
              <w:rPr>
                <w:sz w:val="18"/>
              </w:rPr>
            </w:pPr>
            <w:r w:rsidRPr="003C48A9">
              <w:t xml:space="preserve">Document No:          </w:t>
            </w:r>
            <w:r w:rsidRPr="003C48A9">
              <w:rPr>
                <w:b/>
              </w:rPr>
              <w:t>PR-QA-012</w:t>
            </w:r>
          </w:p>
        </w:tc>
      </w:tr>
      <w:tr w:rsidR="00AB530A" w:rsidRPr="003C48A9" w:rsidTr="00AB530A">
        <w:trPr>
          <w:cantSplit/>
        </w:trPr>
        <w:tc>
          <w:tcPr>
            <w:tcW w:w="3552" w:type="dxa"/>
            <w:tcBorders>
              <w:top w:val="single" w:sz="6" w:space="0" w:color="auto"/>
              <w:left w:val="single" w:sz="6" w:space="0" w:color="auto"/>
              <w:bottom w:val="single" w:sz="6" w:space="0" w:color="auto"/>
              <w:right w:val="single" w:sz="6" w:space="0" w:color="auto"/>
            </w:tcBorders>
          </w:tcPr>
          <w:p w:rsidR="00AB530A" w:rsidRPr="003C48A9" w:rsidRDefault="00AB530A" w:rsidP="00E17B73">
            <w:pPr>
              <w:ind w:right="-540"/>
              <w:rPr>
                <w:sz w:val="18"/>
              </w:rPr>
            </w:pPr>
            <w:r w:rsidRPr="003C48A9">
              <w:t xml:space="preserve">Revision Date:  </w:t>
            </w:r>
            <w:r w:rsidR="00E17B73" w:rsidRPr="003C48A9">
              <w:rPr>
                <w:sz w:val="18"/>
              </w:rPr>
              <w:t xml:space="preserve">May </w:t>
            </w:r>
            <w:r w:rsidR="003C48A9" w:rsidRPr="003C48A9">
              <w:rPr>
                <w:sz w:val="18"/>
              </w:rPr>
              <w:t>3</w:t>
            </w:r>
            <w:r w:rsidR="00E17B73" w:rsidRPr="003C48A9">
              <w:rPr>
                <w:sz w:val="18"/>
              </w:rPr>
              <w:t>1, 2012</w:t>
            </w:r>
          </w:p>
        </w:tc>
        <w:tc>
          <w:tcPr>
            <w:tcW w:w="3220" w:type="dxa"/>
            <w:tcBorders>
              <w:top w:val="single" w:sz="6" w:space="0" w:color="auto"/>
              <w:bottom w:val="single" w:sz="6" w:space="0" w:color="auto"/>
              <w:right w:val="single" w:sz="6" w:space="0" w:color="auto"/>
            </w:tcBorders>
          </w:tcPr>
          <w:p w:rsidR="00AB530A" w:rsidRPr="003C48A9" w:rsidRDefault="00AB530A">
            <w:pPr>
              <w:ind w:right="-540"/>
              <w:rPr>
                <w:sz w:val="18"/>
              </w:rPr>
            </w:pPr>
            <w:r w:rsidRPr="003C48A9">
              <w:t>Revision No:     00</w:t>
            </w:r>
            <w:r w:rsidR="00E17B73" w:rsidRPr="003C48A9">
              <w:t>2</w:t>
            </w:r>
          </w:p>
          <w:p w:rsidR="00AB530A" w:rsidRPr="003C48A9" w:rsidRDefault="00AB530A">
            <w:pPr>
              <w:ind w:left="180" w:right="-540"/>
              <w:jc w:val="center"/>
              <w:rPr>
                <w:sz w:val="18"/>
              </w:rPr>
            </w:pPr>
          </w:p>
        </w:tc>
        <w:tc>
          <w:tcPr>
            <w:tcW w:w="3763" w:type="dxa"/>
            <w:tcBorders>
              <w:top w:val="single" w:sz="6" w:space="0" w:color="auto"/>
              <w:bottom w:val="single" w:sz="6" w:space="0" w:color="auto"/>
              <w:right w:val="single" w:sz="6" w:space="0" w:color="auto"/>
            </w:tcBorders>
          </w:tcPr>
          <w:p w:rsidR="00AB530A" w:rsidRPr="003C48A9" w:rsidRDefault="00AB530A">
            <w:pPr>
              <w:ind w:right="-540"/>
              <w:rPr>
                <w:sz w:val="18"/>
              </w:rPr>
            </w:pPr>
            <w:r w:rsidRPr="003C48A9">
              <w:t>Page         2     of</w:t>
            </w:r>
            <w:r w:rsidRPr="003C48A9">
              <w:rPr>
                <w:sz w:val="18"/>
              </w:rPr>
              <w:t xml:space="preserve">        </w:t>
            </w:r>
            <w:r w:rsidRPr="003C48A9">
              <w:t>2</w:t>
            </w:r>
          </w:p>
          <w:p w:rsidR="00AB530A" w:rsidRPr="003C48A9" w:rsidRDefault="00AB530A">
            <w:pPr>
              <w:ind w:right="-540"/>
              <w:jc w:val="center"/>
              <w:rPr>
                <w:sz w:val="18"/>
              </w:rPr>
            </w:pPr>
          </w:p>
        </w:tc>
      </w:tr>
      <w:tr w:rsidR="00AB530A" w:rsidRPr="003C48A9" w:rsidTr="00AB530A">
        <w:trPr>
          <w:cantSplit/>
        </w:trPr>
        <w:tc>
          <w:tcPr>
            <w:tcW w:w="10535" w:type="dxa"/>
            <w:gridSpan w:val="3"/>
            <w:tcBorders>
              <w:top w:val="single" w:sz="6" w:space="0" w:color="auto"/>
              <w:left w:val="single" w:sz="6" w:space="0" w:color="auto"/>
              <w:bottom w:val="single" w:sz="6" w:space="0" w:color="auto"/>
              <w:right w:val="single" w:sz="6" w:space="0" w:color="auto"/>
            </w:tcBorders>
          </w:tcPr>
          <w:p w:rsidR="00AB530A" w:rsidRPr="003C48A9" w:rsidRDefault="009112C6">
            <w:pPr>
              <w:pStyle w:val="PROCHEAD"/>
              <w:jc w:val="left"/>
              <w:rPr>
                <w:sz w:val="18"/>
              </w:rPr>
            </w:pPr>
            <w:r w:rsidRPr="003C48A9">
              <w:rPr>
                <w:b w:val="0"/>
                <w:sz w:val="20"/>
              </w:rPr>
              <w:pict>
                <v:shape id="_x0000_s1034" type="#_x0000_t75" style="position:absolute;left:0;text-align:left;margin-left:5in;margin-top:1.85pt;width:11.25pt;height:9pt;z-index:251658240;mso-position-horizontal-relative:text;mso-position-vertical-relative:text" o:allowincell="f">
                  <v:imagedata r:id="rId7" o:title=""/>
                </v:shape>
                <o:OLEObject Type="Embed" ProgID="MS_ClipArt_Gallery" ShapeID="_x0000_s1034" DrawAspect="Content" ObjectID="_1400310065" r:id="rId9"/>
              </w:pict>
            </w:r>
            <w:r w:rsidR="00AB530A" w:rsidRPr="003C48A9">
              <w:rPr>
                <w:b w:val="0"/>
                <w:sz w:val="20"/>
              </w:rPr>
              <w:t xml:space="preserve">Subject:                                               </w:t>
            </w:r>
            <w:r w:rsidR="00AB530A" w:rsidRPr="003C48A9">
              <w:rPr>
                <w:sz w:val="24"/>
              </w:rPr>
              <w:t>CONTINGENCY PLAN</w:t>
            </w:r>
            <w:r w:rsidR="00AB530A" w:rsidRPr="003C48A9">
              <w:rPr>
                <w:b w:val="0"/>
                <w:sz w:val="20"/>
              </w:rPr>
              <w:t xml:space="preserve">    </w:t>
            </w:r>
          </w:p>
        </w:tc>
      </w:tr>
    </w:tbl>
    <w:p w:rsidR="00971FCD" w:rsidRPr="003C48A9" w:rsidRDefault="00971FCD" w:rsidP="00971FCD">
      <w:pPr>
        <w:ind w:left="900"/>
        <w:rPr>
          <w:sz w:val="22"/>
          <w:szCs w:val="22"/>
        </w:rPr>
      </w:pPr>
    </w:p>
    <w:p w:rsidR="006B5080" w:rsidRPr="003C48A9" w:rsidRDefault="00971FCD" w:rsidP="00971FCD">
      <w:pPr>
        <w:numPr>
          <w:ilvl w:val="0"/>
          <w:numId w:val="6"/>
        </w:numPr>
        <w:rPr>
          <w:sz w:val="22"/>
          <w:szCs w:val="22"/>
        </w:rPr>
      </w:pPr>
      <w:r w:rsidRPr="003C48A9">
        <w:rPr>
          <w:sz w:val="22"/>
          <w:szCs w:val="22"/>
        </w:rPr>
        <w:t>Power Outages: A back-up generator able to power the production line and its support systems shall be utilized immediately following the event.  Windsor Machine infrastructure includes satellite facilities that can support</w:t>
      </w:r>
      <w:r w:rsidR="006B5080" w:rsidRPr="003C48A9">
        <w:tab/>
      </w:r>
      <w:r w:rsidR="006B5080" w:rsidRPr="003C48A9">
        <w:rPr>
          <w:sz w:val="22"/>
          <w:szCs w:val="22"/>
        </w:rPr>
        <w:t>an occurrence.  In the event that the satellite facilities are affected by the occurrence, approved (by WMG) third party suppliers are contracted to support the affected WMG production plants.</w:t>
      </w:r>
    </w:p>
    <w:p w:rsidR="006B5080" w:rsidRPr="003C48A9" w:rsidRDefault="006B5080" w:rsidP="006B5080">
      <w:pPr>
        <w:rPr>
          <w:sz w:val="22"/>
          <w:szCs w:val="22"/>
        </w:rPr>
      </w:pPr>
    </w:p>
    <w:p w:rsidR="006B5080" w:rsidRPr="003C48A9" w:rsidRDefault="006B5080" w:rsidP="00971FCD">
      <w:pPr>
        <w:numPr>
          <w:ilvl w:val="0"/>
          <w:numId w:val="6"/>
        </w:numPr>
        <w:rPr>
          <w:sz w:val="22"/>
          <w:szCs w:val="22"/>
        </w:rPr>
      </w:pPr>
      <w:r w:rsidRPr="003C48A9">
        <w:rPr>
          <w:sz w:val="22"/>
          <w:szCs w:val="22"/>
        </w:rPr>
        <w:t>Production Line Failure: An equipment list that consists of key tooling, that would otherwise have a long lead time to replace and/or repair, is on-site and spare parts or c</w:t>
      </w:r>
      <w:r w:rsidR="007616B8" w:rsidRPr="003C48A9">
        <w:rPr>
          <w:sz w:val="22"/>
          <w:szCs w:val="22"/>
        </w:rPr>
        <w:t>omponents for said equipment, are</w:t>
      </w:r>
      <w:r w:rsidRPr="003C48A9">
        <w:rPr>
          <w:sz w:val="22"/>
          <w:szCs w:val="22"/>
        </w:rPr>
        <w:t xml:space="preserve"> readily available within the production plant and/or supplier.  </w:t>
      </w:r>
    </w:p>
    <w:p w:rsidR="001028E6" w:rsidRPr="003C48A9" w:rsidRDefault="001028E6">
      <w:pPr>
        <w:pStyle w:val="SECHEAD"/>
        <w:rPr>
          <w:noProof w:val="0"/>
        </w:rPr>
      </w:pPr>
    </w:p>
    <w:p w:rsidR="001028E6" w:rsidRPr="003C48A9" w:rsidRDefault="001028E6">
      <w:pPr>
        <w:pStyle w:val="SECHEAD"/>
        <w:rPr>
          <w:noProof w:val="0"/>
        </w:rPr>
      </w:pPr>
      <w:r w:rsidRPr="003C48A9">
        <w:rPr>
          <w:noProof w:val="0"/>
        </w:rPr>
        <w:tab/>
        <w:t>DELIVERY</w:t>
      </w:r>
    </w:p>
    <w:p w:rsidR="001028E6" w:rsidRPr="003C48A9" w:rsidRDefault="001028E6">
      <w:pPr>
        <w:pStyle w:val="SECHEAD"/>
        <w:rPr>
          <w:b w:val="0"/>
          <w:noProof w:val="0"/>
        </w:rPr>
      </w:pPr>
      <w:r w:rsidRPr="003C48A9">
        <w:rPr>
          <w:noProof w:val="0"/>
        </w:rPr>
        <w:tab/>
      </w:r>
      <w:r w:rsidRPr="003C48A9">
        <w:rPr>
          <w:b w:val="0"/>
          <w:noProof w:val="0"/>
        </w:rPr>
        <w:t>To ensure that the customer is protected from any or all interruptions with regards to regular production, excluding any act of God or natural disaster, the following steps shall be adhered to:</w:t>
      </w:r>
    </w:p>
    <w:p w:rsidR="001028E6" w:rsidRPr="003C48A9" w:rsidRDefault="001028E6">
      <w:pPr>
        <w:pStyle w:val="SECHEAD"/>
        <w:numPr>
          <w:ilvl w:val="0"/>
          <w:numId w:val="4"/>
        </w:numPr>
        <w:rPr>
          <w:b w:val="0"/>
          <w:noProof w:val="0"/>
        </w:rPr>
      </w:pPr>
      <w:r w:rsidRPr="003C48A9">
        <w:rPr>
          <w:b w:val="0"/>
          <w:noProof w:val="0"/>
        </w:rPr>
        <w:t>Expedite: All premiums &amp; expedites to be confirmed thru SMBA promise screen.  Windsor Machine, if responsible for the interruption, will ensure that ok-to-use material is available to the customer.</w:t>
      </w:r>
    </w:p>
    <w:p w:rsidR="001028E6" w:rsidRPr="003C48A9" w:rsidRDefault="001028E6">
      <w:pPr>
        <w:pStyle w:val="SECHEAD"/>
        <w:numPr>
          <w:ilvl w:val="0"/>
          <w:numId w:val="4"/>
        </w:numPr>
        <w:rPr>
          <w:b w:val="0"/>
          <w:noProof w:val="0"/>
        </w:rPr>
      </w:pPr>
      <w:r w:rsidRPr="003C48A9">
        <w:rPr>
          <w:b w:val="0"/>
          <w:noProof w:val="0"/>
        </w:rPr>
        <w:t>Production: In order to have ok-to-use material, replacement or otherwise, Windsor Machine will ensure that the plant responsible for production, schedule additional shifts and or overtime until quantities are met.</w:t>
      </w:r>
    </w:p>
    <w:p w:rsidR="001028E6" w:rsidRDefault="001028E6">
      <w:r>
        <w:tab/>
      </w:r>
    </w:p>
    <w:p w:rsidR="001028E6" w:rsidRDefault="001028E6"/>
    <w:p w:rsidR="001028E6" w:rsidRDefault="001028E6"/>
    <w:p w:rsidR="001028E6" w:rsidRDefault="001028E6"/>
    <w:p w:rsidR="001028E6" w:rsidRDefault="001028E6"/>
    <w:p w:rsidR="001028E6" w:rsidRDefault="001028E6"/>
    <w:p w:rsidR="001028E6" w:rsidRDefault="001028E6"/>
    <w:p w:rsidR="001028E6" w:rsidRDefault="001028E6"/>
    <w:p w:rsidR="001028E6" w:rsidRDefault="001028E6">
      <w:r>
        <w:rPr>
          <w:color w:val="FF0000"/>
        </w:rPr>
        <w:t xml:space="preserve">           </w:t>
      </w:r>
    </w:p>
    <w:sectPr w:rsidR="001028E6" w:rsidSect="008F5B97">
      <w:footerReference w:type="default" r:id="rId10"/>
      <w:pgSz w:w="12240" w:h="15840" w:code="1"/>
      <w:pgMar w:top="1008" w:right="432" w:bottom="850" w:left="720"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1DF" w:rsidRDefault="006C21DF">
      <w:r>
        <w:separator/>
      </w:r>
    </w:p>
  </w:endnote>
  <w:endnote w:type="continuationSeparator" w:id="0">
    <w:p w:rsidR="006C21DF" w:rsidRDefault="006C2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E6" w:rsidRDefault="001028E6">
    <w:pPr>
      <w:pStyle w:val="Footer"/>
    </w:pPr>
    <w:r>
      <w:t>Uncontrolled if Printed</w:t>
    </w:r>
    <w:r>
      <w:tab/>
    </w:r>
    <w:r>
      <w:tab/>
    </w:r>
    <w:r>
      <w:tab/>
    </w:r>
    <w:r>
      <w:tab/>
    </w:r>
    <w:r>
      <w:tab/>
    </w:r>
    <w:r w:rsidR="009112C6">
      <w:rPr>
        <w:rStyle w:val="PageNumber"/>
      </w:rPr>
      <w:fldChar w:fldCharType="begin"/>
    </w:r>
    <w:r>
      <w:rPr>
        <w:rStyle w:val="PageNumber"/>
      </w:rPr>
      <w:instrText xml:space="preserve"> PAGE </w:instrText>
    </w:r>
    <w:r w:rsidR="009112C6">
      <w:rPr>
        <w:rStyle w:val="PageNumber"/>
      </w:rPr>
      <w:fldChar w:fldCharType="separate"/>
    </w:r>
    <w:r w:rsidR="003C48A9">
      <w:rPr>
        <w:rStyle w:val="PageNumber"/>
        <w:noProof/>
      </w:rPr>
      <w:t>1</w:t>
    </w:r>
    <w:r w:rsidR="009112C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1DF" w:rsidRDefault="006C21DF">
      <w:r>
        <w:separator/>
      </w:r>
    </w:p>
  </w:footnote>
  <w:footnote w:type="continuationSeparator" w:id="0">
    <w:p w:rsidR="006C21DF" w:rsidRDefault="006C2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651E"/>
    <w:multiLevelType w:val="singleLevel"/>
    <w:tmpl w:val="EF5C23DC"/>
    <w:lvl w:ilvl="0">
      <w:numFmt w:val="bullet"/>
      <w:lvlText w:val="-"/>
      <w:lvlJc w:val="left"/>
      <w:pPr>
        <w:tabs>
          <w:tab w:val="num" w:pos="864"/>
        </w:tabs>
        <w:ind w:left="864" w:hanging="360"/>
      </w:pPr>
      <w:rPr>
        <w:rFonts w:ascii="Times New Roman" w:hAnsi="Times New Roman" w:hint="default"/>
      </w:rPr>
    </w:lvl>
  </w:abstractNum>
  <w:abstractNum w:abstractNumId="1">
    <w:nsid w:val="248A7D28"/>
    <w:multiLevelType w:val="hybridMultilevel"/>
    <w:tmpl w:val="2018B9AA"/>
    <w:lvl w:ilvl="0" w:tplc="AF641FC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BD53991"/>
    <w:multiLevelType w:val="singleLevel"/>
    <w:tmpl w:val="471212D4"/>
    <w:lvl w:ilvl="0">
      <w:numFmt w:val="bullet"/>
      <w:lvlText w:val="-"/>
      <w:lvlJc w:val="left"/>
      <w:pPr>
        <w:tabs>
          <w:tab w:val="num" w:pos="864"/>
        </w:tabs>
        <w:ind w:left="864" w:hanging="360"/>
      </w:pPr>
      <w:rPr>
        <w:rFonts w:ascii="Times New Roman" w:hAnsi="Times New Roman" w:hint="default"/>
      </w:rPr>
    </w:lvl>
  </w:abstractNum>
  <w:abstractNum w:abstractNumId="3">
    <w:nsid w:val="3B057C1E"/>
    <w:multiLevelType w:val="hybridMultilevel"/>
    <w:tmpl w:val="8E7CD74A"/>
    <w:lvl w:ilvl="0" w:tplc="4DFC4DD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nsid w:val="64960FB2"/>
    <w:multiLevelType w:val="hybridMultilevel"/>
    <w:tmpl w:val="B4B03AF8"/>
    <w:lvl w:ilvl="0" w:tplc="AF641FC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6F530315"/>
    <w:multiLevelType w:val="hybridMultilevel"/>
    <w:tmpl w:val="B4B03AF8"/>
    <w:lvl w:ilvl="0" w:tplc="AF641FC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B530A"/>
    <w:rsid w:val="000027C0"/>
    <w:rsid w:val="001028E6"/>
    <w:rsid w:val="003C48A9"/>
    <w:rsid w:val="006B5080"/>
    <w:rsid w:val="006C21DF"/>
    <w:rsid w:val="007616B8"/>
    <w:rsid w:val="008F5B97"/>
    <w:rsid w:val="009112C6"/>
    <w:rsid w:val="00971FCD"/>
    <w:rsid w:val="00AB530A"/>
    <w:rsid w:val="00B839D3"/>
    <w:rsid w:val="00C40850"/>
    <w:rsid w:val="00D36554"/>
    <w:rsid w:val="00E17B73"/>
    <w:rsid w:val="00F15F94"/>
    <w:rsid w:val="00F92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B97"/>
  </w:style>
  <w:style w:type="paragraph" w:styleId="Heading1">
    <w:name w:val="heading 1"/>
    <w:basedOn w:val="Normal"/>
    <w:next w:val="Normal"/>
    <w:qFormat/>
    <w:rsid w:val="008F5B97"/>
    <w:pPr>
      <w:keepNext/>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
    <w:name w:val="SEC HEAD"/>
    <w:basedOn w:val="Normal"/>
    <w:next w:val="BULLETA"/>
    <w:rsid w:val="008F5B97"/>
    <w:pPr>
      <w:keepNext/>
      <w:tabs>
        <w:tab w:val="left" w:pos="504"/>
      </w:tabs>
      <w:spacing w:before="50" w:after="144" w:line="264" w:lineRule="exact"/>
      <w:ind w:left="504" w:hanging="504"/>
    </w:pPr>
    <w:rPr>
      <w:rFonts w:ascii="CG Times (WN)" w:hAnsi="CG Times (WN)"/>
      <w:b/>
      <w:noProof/>
      <w:sz w:val="22"/>
    </w:rPr>
  </w:style>
  <w:style w:type="paragraph" w:customStyle="1" w:styleId="BULLETA">
    <w:name w:val="BULLET A"/>
    <w:basedOn w:val="Normal"/>
    <w:next w:val="Normal"/>
    <w:rsid w:val="008F5B97"/>
    <w:pPr>
      <w:tabs>
        <w:tab w:val="left" w:pos="720"/>
      </w:tabs>
      <w:spacing w:after="72" w:line="264" w:lineRule="exact"/>
      <w:ind w:left="677" w:hanging="173"/>
    </w:pPr>
    <w:rPr>
      <w:rFonts w:ascii="CG Times (WN)" w:hAnsi="CG Times (WN)"/>
      <w:noProof/>
      <w:sz w:val="22"/>
    </w:rPr>
  </w:style>
  <w:style w:type="paragraph" w:customStyle="1" w:styleId="PROCHEAD">
    <w:name w:val="PROC HEAD"/>
    <w:basedOn w:val="SECHEAD"/>
    <w:rsid w:val="008F5B97"/>
    <w:pPr>
      <w:spacing w:before="0"/>
      <w:jc w:val="center"/>
    </w:pPr>
    <w:rPr>
      <w:noProof w:val="0"/>
      <w:sz w:val="28"/>
    </w:rPr>
  </w:style>
  <w:style w:type="paragraph" w:styleId="Header">
    <w:name w:val="header"/>
    <w:basedOn w:val="Normal"/>
    <w:rsid w:val="008F5B97"/>
    <w:pPr>
      <w:tabs>
        <w:tab w:val="center" w:pos="4320"/>
        <w:tab w:val="right" w:pos="8640"/>
      </w:tabs>
    </w:pPr>
  </w:style>
  <w:style w:type="paragraph" w:styleId="Footer">
    <w:name w:val="footer"/>
    <w:basedOn w:val="Normal"/>
    <w:rsid w:val="008F5B97"/>
    <w:pPr>
      <w:tabs>
        <w:tab w:val="center" w:pos="4320"/>
        <w:tab w:val="right" w:pos="8640"/>
      </w:tabs>
    </w:pPr>
  </w:style>
  <w:style w:type="paragraph" w:customStyle="1" w:styleId="TEXTA">
    <w:name w:val="TEXT A"/>
    <w:basedOn w:val="Normal"/>
    <w:next w:val="SECHEAD"/>
    <w:rsid w:val="008F5B97"/>
    <w:pPr>
      <w:tabs>
        <w:tab w:val="left" w:pos="504"/>
      </w:tabs>
      <w:spacing w:after="144" w:line="264" w:lineRule="exact"/>
      <w:ind w:left="504" w:hanging="504"/>
    </w:pPr>
    <w:rPr>
      <w:rFonts w:ascii="CG Times (WN)" w:hAnsi="CG Times (WN)"/>
      <w:noProof/>
      <w:sz w:val="22"/>
    </w:rPr>
  </w:style>
  <w:style w:type="paragraph" w:customStyle="1" w:styleId="TEXTPREBULLET">
    <w:name w:val="TEXT PRE BULLET"/>
    <w:basedOn w:val="TEXTA"/>
    <w:next w:val="Normal"/>
    <w:rsid w:val="008F5B97"/>
    <w:pPr>
      <w:spacing w:after="72"/>
    </w:pPr>
    <w:rPr>
      <w:noProof w:val="0"/>
    </w:rPr>
  </w:style>
  <w:style w:type="paragraph" w:customStyle="1" w:styleId="BULLETLAST">
    <w:name w:val="BULLET LAST"/>
    <w:basedOn w:val="BULLETA"/>
    <w:next w:val="Normal"/>
    <w:rsid w:val="008F5B97"/>
    <w:pPr>
      <w:spacing w:after="144"/>
    </w:pPr>
    <w:rPr>
      <w:noProof w:val="0"/>
    </w:rPr>
  </w:style>
  <w:style w:type="character" w:styleId="PageNumber">
    <w:name w:val="page number"/>
    <w:basedOn w:val="DefaultParagraphFont"/>
    <w:rsid w:val="008F5B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Windsor Machine Group	</vt:lpstr>
    </vt:vector>
  </TitlesOfParts>
  <Company>Windsor Machine &amp; Stamping</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Windsor Machine Group	</dc:title>
  <dc:subject/>
  <dc:creator>Doug</dc:creator>
  <cp:keywords/>
  <dc:description/>
  <cp:lastModifiedBy>cadd7</cp:lastModifiedBy>
  <cp:revision>6</cp:revision>
  <cp:lastPrinted>2007-10-26T15:26:00Z</cp:lastPrinted>
  <dcterms:created xsi:type="dcterms:W3CDTF">2012-05-04T13:51:00Z</dcterms:created>
  <dcterms:modified xsi:type="dcterms:W3CDTF">2012-06-04T14:15:00Z</dcterms:modified>
</cp:coreProperties>
</file>